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3864"/>
          <w:sz w:val="20"/>
          <w:szCs w:val="20"/>
        </w:rPr>
        <w:t xml:space="preserve">TELECON — Infrastructure Québec</w:t>
      </w:r>
    </w:p>
    <w:p>
      <w:pPr>
        <w:spacing w:after="20"/>
        <w:jc w:val="center"/>
      </w:pPr>
      <w:r>
        <w:rPr>
          <w:b/>
          <w:bCs/>
          <w:color w:val="1F3864"/>
          <w:sz w:val="32"/>
          <w:szCs w:val="32"/>
        </w:rPr>
        <w:t xml:space="preserve">Analyse d'événement et détermination des causes fondamentales</w:t>
      </w:r>
    </w:p>
    <w:p>
      <w:pPr>
        <w:spacing w:after="40"/>
        <w:jc w:val="center"/>
      </w:pPr>
      <w:r>
        <w:rPr>
          <w:b/>
          <w:bCs/>
          <w:i/>
          <w:iCs/>
          <w:color w:val="888780"/>
          <w:sz w:val="26"/>
          <w:szCs w:val="26"/>
        </w:rPr>
        <w:t xml:space="preserve">Event Analysis &amp; Root Cause Determination</w:t>
      </w:r>
    </w:p>
    <w:p>
      <w:pPr>
        <w:spacing w:after="20"/>
        <w:jc w:val="center"/>
      </w:pPr>
      <w:r>
        <w:rPr>
          <w:i/>
          <w:iCs/>
          <w:sz w:val="20"/>
          <w:szCs w:val="20"/>
        </w:rPr>
        <w:t xml:space="preserve">Document trame bilingue — HSE-902-TEL-STD  /  Bilingual working template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Accident véhicule — Camion nacelle 110035 · ID 29292224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i/>
                <w:iCs/>
                <w:color w:val="1F3864"/>
                <w:sz w:val="19"/>
                <w:szCs w:val="19"/>
              </w:rPr>
              <w:t xml:space="preserve">PRINCIPE DIRECTEUR : Chaque conclusion de l'enquête doit être traçable à une preuve (physique, testimoniale, documentaire ou analytique). Les hypothèses non appuyées ne sont pas des conclusions causales. L'objectif est l'apprentissage organisationnel, non le blâme.</w:t>
            </w:r>
            <w:r>
              <w:rPr>
                <w:i/>
                <w:iCs/>
                <w:color w:val="5F5E5A"/>
                <w:sz w:val="19"/>
                <w:szCs w:val="19"/>
              </w:rPr>
              <w:t xml:space="preserve">  ·  GUIDING PRINCIPLE: Every investigation finding must be traceable to evidence. Unsupported assumptions are not acceptable as causal conclusions. The objective is organizational learning, not blame.</w:t>
            </w:r>
          </w:p>
        </w:tc>
      </w:tr>
    </w:tbl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1. Identification de l'événement</w:t>
      </w:r>
      <w:r>
        <w:rPr>
          <w:b/>
          <w:bCs/>
          <w:color w:val="888780"/>
          <w:sz w:val="24"/>
          <w:szCs w:val="24"/>
        </w:rPr>
        <w:t xml:space="preserve">  /  Event identification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Identifiant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Reference ID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29292224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Date / heure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Date / time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13 août 2026 · 15 h 30 (rapporté / reported 15 h 35)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Lieu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Location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Autoroute 25, hauteur Terrebonne (QC)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Unité impliquée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Unit involved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Camion nacelle Freightliner — unité / unit 110035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Travailleur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Worker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Frédéric Fradette — fusionneur / splicer (Projet Falcon · Telus)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Conducteur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Driver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Frédéric Fradette (permis QC / QC licence)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Préparé par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Prepared by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Mario Deshaies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Enquête / superviseur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Investigation / supervisor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Steven Laprade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Type d'événement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Event type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Blessure + véhicule en mouvement / Injury + vehicle in motion (collision avant / frontal)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Services d'urgence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Emergency services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Ambulance + police (A-25 fermée temporairement / temporarily closed)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Classification (tier)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Investigation tier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À confirmer — potentiel élevé (HiPo) / To confirm — high-potential — STKY : sécurité routière</w:t>
            </w:r>
          </w:p>
        </w:tc>
      </w:tr>
    </w:tbl>
    <w:p>
      <w:pPr>
        <w:spacing w:after="120" w:before="80"/>
      </w:pPr>
      <w:r>
        <w:rPr>
          <w:b/>
          <w:bCs/>
          <w:i/>
          <w:iCs/>
          <w:color w:val="1F3864"/>
          <w:sz w:val="20"/>
          <w:szCs w:val="20"/>
        </w:rPr>
        <w:t xml:space="preserve">Une classification repose sur le potentiel de gravité, non sur le résultat réel.</w:t>
      </w:r>
      <w:r>
        <w:rPr>
          <w:i/>
          <w:iCs/>
          <w:color w:val="5F5E5A"/>
          <w:sz w:val="20"/>
          <w:szCs w:val="20"/>
        </w:rPr>
        <w:t xml:space="preserve">  ·  Classification is based on potential severity, not actual outcome.</w:t>
      </w:r>
    </w:p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2. Chronologie de l'événement (étape 1)</w:t>
      </w:r>
      <w:r>
        <w:rPr>
          <w:b/>
          <w:bCs/>
          <w:color w:val="888780"/>
          <w:sz w:val="24"/>
          <w:szCs w:val="24"/>
        </w:rPr>
        <w:t xml:space="preserve">  /  Event timeline reconstruction (step 1)</w:t>
      </w:r>
    </w:p>
    <w:p>
      <w:pPr>
        <w:spacing w:after="120"/>
      </w:pPr>
      <w:r>
        <w:rPr>
          <w:sz w:val="22"/>
          <w:szCs w:val="22"/>
        </w:rPr>
        <w:t xml:space="preserve">Reconstruire la séquence complète — avant, pendant, après — à partir des sources de preuve. Ne pas amorcer l'analyse avant d'avoir établi la chronologie.</w:t>
      </w:r>
      <w:r>
        <w:rPr>
          <w:i/>
          <w:iCs/>
          <w:color w:val="5F5E5A"/>
          <w:sz w:val="22"/>
          <w:szCs w:val="22"/>
        </w:rPr>
        <w:t xml:space="preserve">  ·  Reconstruct the full sequence from evidence sources. Do not begin analysis until the timeline is established.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840"/>
      </w:tblGrid>
      <w:tr>
        <w:tc>
          <w:tcPr>
            <w:tcW w:type="dxa" w:w="24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Moment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Phase</w:t>
            </w:r>
          </w:p>
        </w:tc>
        <w:tc>
          <w:tcPr>
            <w:tcW w:type="dxa" w:w="784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Description / source de preuve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Description / evidence source</w:t>
            </w:r>
          </w:p>
        </w:tc>
      </w:tr>
      <w:tr>
        <w:tc>
          <w:tcPr>
            <w:tcW w:type="dxa" w:w="2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Avant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Before</w:t>
            </w:r>
          </w:p>
        </w:tc>
        <w:tc>
          <w:tcPr>
            <w:tcW w:type="dxa" w:w="7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Planification, inspection pré-départ, état/affectation du conducteur — à documenter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Planning, pre-trip inspection, driver status/assignment — to document</w:t>
            </w:r>
          </w:p>
        </w:tc>
      </w:tr>
      <w:tr>
        <w:tc>
          <w:tcPr>
            <w:tcW w:type="dxa" w:w="2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Pendant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During</w:t>
            </w:r>
          </w:p>
        </w:tc>
        <w:tc>
          <w:tcPr>
            <w:tcW w:type="dxa" w:w="7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Télématique : vitesse passée de 65 km/h à 0 en quelques instants (freinage brusque / impact) — à confirmer par l'extraction FleetComplete officielle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Telematics: speed dropped 65→0 km/h within moments (hard braking / impact) — confirm via official FleetComplete export</w:t>
            </w:r>
          </w:p>
        </w:tc>
      </w:tr>
      <w:tr>
        <w:tc>
          <w:tcPr>
            <w:tcW w:type="dxa" w:w="2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Impact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Impact</w:t>
            </w:r>
          </w:p>
        </w:tc>
        <w:tc>
          <w:tcPr>
            <w:tcW w:type="dxa" w:w="7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Collision avant : dommages avant-droit (calandre, pare-chocs, radiateur exposé, aile) et éraflures latérales côté droit — voir photos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Frontal collision: front-right damage (grille, bumper, exposed radiator, fender) and right-side scrapes — see photos</w:t>
            </w:r>
          </w:p>
        </w:tc>
      </w:tr>
      <w:tr>
        <w:tc>
          <w:tcPr>
            <w:tcW w:type="dxa" w:w="2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Après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After</w:t>
            </w:r>
          </w:p>
        </w:tc>
        <w:tc>
          <w:tcPr>
            <w:tcW w:type="dxa" w:w="7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Prise en charge ambulancière (travailleur en état de choc), fermeture de l'A-25, intervention policière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Ambulance response (worker in shock), A-25 closure, police attendance</w:t>
            </w:r>
          </w:p>
        </w:tc>
      </w:tr>
    </w:tbl>
    <w:p>
      <w:pPr>
        <w:spacing w:after="120"/>
      </w:pPr>
      <w:r>
        <w:rPr>
          <w:sz w:val="22"/>
          <w:szCs w:val="22"/>
        </w:rPr>
        <w:t xml:space="preserve">Sources : témoignages (recueillis individuellement), photos/mesures, FleetComplete, JSA/bons de travail, dossiers d'inspection et d'entretien.</w:t>
      </w:r>
      <w:r>
        <w:rPr>
          <w:i/>
          <w:iCs/>
          <w:color w:val="5F5E5A"/>
          <w:sz w:val="22"/>
          <w:szCs w:val="22"/>
        </w:rPr>
        <w:t xml:space="preserve">  ·  Sources: witness statements (collected individually), photos/measurements, FleetComplete, JSA/work orders, inspection &amp; maintenance records.</w:t>
      </w:r>
    </w:p>
    <w:p>
      <w:r>
        <w:br w:type="page"/>
      </w:r>
    </w:p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3. Dangers et sources d'énergie (étape 2)</w:t>
      </w:r>
      <w:r>
        <w:rPr>
          <w:b/>
          <w:bCs/>
          <w:color w:val="888780"/>
          <w:sz w:val="24"/>
          <w:szCs w:val="24"/>
        </w:rPr>
        <w:t xml:space="preserve">  /  Hazard &amp; energy identification (step 2)</w:t>
      </w:r>
    </w:p>
    <w:p>
      <w:pPr>
        <w:spacing w:after="120"/>
      </w:pPr>
      <w:r>
        <w:rPr>
          <w:sz w:val="22"/>
          <w:szCs w:val="22"/>
        </w:rPr>
        <w:t xml:space="preserve">Méthode Energy Wheel. Pour chaque source : comment l'énergie était stockée/générée, comment elle a été libérée, et le trajet jusqu'au travailleur ou au bien.</w:t>
      </w:r>
      <w:r>
        <w:rPr>
          <w:i/>
          <w:iCs/>
          <w:color w:val="5F5E5A"/>
          <w:sz w:val="22"/>
          <w:szCs w:val="22"/>
        </w:rPr>
        <w:t xml:space="preserve">  ·  Energy Wheel method. For each source: how energy was stored/generated, how it was released, and the pathway to the worker or asset.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7240"/>
      </w:tblGrid>
      <w:tr>
        <w:tc>
          <w:tcPr>
            <w:tcW w:type="dxa" w:w="30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Type d'énergie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Energy type</w:t>
            </w:r>
          </w:p>
        </w:tc>
        <w:tc>
          <w:tcPr>
            <w:tcW w:type="dxa" w:w="724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Présence dans cet événement / à évaluer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Present in this event / to assess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Mécanique (mouvement)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Mechanical (motion)</w:t>
            </w:r>
          </w:p>
        </w:tc>
        <w:tc>
          <w:tcPr>
            <w:tcW w:type="dxa" w:w="72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Énergie cinétique du véhicule (65 km/h → 0) — source principale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Vehicle kinetic energy (65→0 km/h) — primary source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Gravitationnelle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Gravitational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Nacelle / charge en hauteur — arrimage à vérifier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Aerial device / elevated load — securement to verify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Thermique / chimique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Thermal / chemical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Carburant, fluides hydrauliques — fuite après impact à écarter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Fuel, hydraulic fluids — post-impact leak to rule out</w:t>
            </w:r>
          </w:p>
        </w:tc>
      </w:tr>
      <w:tr>
        <w:tc>
          <w:tcPr>
            <w:tcW w:type="dxa" w:w="30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Autres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Other</w:t>
            </w:r>
          </w:p>
        </w:tc>
        <w:tc>
          <w:tcPr>
            <w:tcW w:type="dxa" w:w="7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Selon la scène (à compléter)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Per scene (to complete)</w:t>
            </w:r>
          </w:p>
        </w:tc>
      </w:tr>
    </w:tbl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4. Barrières et contrôles critiques (étape 3)</w:t>
      </w:r>
      <w:r>
        <w:rPr>
          <w:b/>
          <w:bCs/>
          <w:color w:val="888780"/>
          <w:sz w:val="24"/>
          <w:szCs w:val="24"/>
        </w:rPr>
        <w:t xml:space="preserve">  /  Barrier &amp; critical control analysis (step 3)</w:t>
      </w:r>
    </w:p>
    <w:p>
      <w:pPr>
        <w:spacing w:after="120"/>
      </w:pPr>
      <w:r>
        <w:rPr>
          <w:sz w:val="22"/>
          <w:szCs w:val="22"/>
        </w:rPr>
        <w:t xml:space="preserve">Pour chaque contrôle : était-il prévu au plan/JSA ? présent ? correctement mis en œuvre ? a-t-il fonctionné ? sinon, pourquoi ?</w:t>
      </w:r>
      <w:r>
        <w:rPr>
          <w:i/>
          <w:iCs/>
          <w:color w:val="5F5E5A"/>
          <w:sz w:val="22"/>
          <w:szCs w:val="22"/>
        </w:rPr>
        <w:t xml:space="preserve">  ·  For each control: was it specified in the plan/JSA? present? properly implemented? did it perform? if not, why?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200"/>
        <w:gridCol w:w="3640"/>
      </w:tblGrid>
      <w:tr>
        <w:tc>
          <w:tcPr>
            <w:tcW w:type="dxa" w:w="34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Contrôle / barrière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Control / barrier</w:t>
            </w:r>
          </w:p>
        </w:tc>
        <w:tc>
          <w:tcPr>
            <w:tcW w:type="dxa" w:w="32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Type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Category</w:t>
            </w:r>
          </w:p>
        </w:tc>
        <w:tc>
          <w:tcPr>
            <w:tcW w:type="dxa" w:w="364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Performance — à évaluer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Performance — to assess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Système de freinage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Braking system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Ingénierie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Engineering</w:t>
            </w:r>
          </w:p>
        </w:tc>
        <w:tc>
          <w:tcPr>
            <w:tcW w:type="dxa" w:w="36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Voir rapports d'inspection freins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See brake inspection reports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Inspection pré-départ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Pre-trip inspection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Administratif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Administrative</w:t>
            </w:r>
          </w:p>
        </w:tc>
        <w:tc>
          <w:tcPr>
            <w:tcW w:type="dxa" w:w="36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Circle check du jour réalisé/documenté ?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Day-of circle check done/documented?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Compétence conducteur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Driver competency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Administratif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Administrative</w:t>
            </w:r>
          </w:p>
        </w:tc>
        <w:tc>
          <w:tcPr>
            <w:tcW w:type="dxa" w:w="36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Voir dossier de formation nacelle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See aerial-truck training file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Conduite préventive / sécurité routière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Defensive driving / road safety</w:t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Procédural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Procedural</w:t>
            </w:r>
          </w:p>
        </w:tc>
        <w:tc>
          <w:tcPr>
            <w:tcW w:type="dxa" w:w="36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Programme en place et diffusé ?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Program in place and communicated?</w:t>
            </w:r>
          </w:p>
        </w:tc>
      </w:tr>
    </w:tbl>
    <w:p>
      <w:pPr>
        <w:spacing w:after="120" w:before="80"/>
      </w:pPr>
      <w:r>
        <w:rPr>
          <w:b/>
          <w:bCs/>
          <w:i/>
          <w:iCs/>
          <w:color w:val="1F3864"/>
          <w:sz w:val="20"/>
          <w:szCs w:val="20"/>
        </w:rPr>
        <w:t xml:space="preserve">Si un contrôle critique était absent ou inefficace, cette constatation devient une cause fondamentale — non un simple facteur contributif.</w:t>
      </w:r>
      <w:r>
        <w:rPr>
          <w:i/>
          <w:iCs/>
          <w:color w:val="5F5E5A"/>
          <w:sz w:val="20"/>
          <w:szCs w:val="20"/>
        </w:rPr>
        <w:t xml:space="preserve">  ·  If a critical control was absent or ineffective, that finding is captured as a root cause, not merely a contributing factor.</w:t>
      </w:r>
    </w:p>
    <w:p>
      <w:r>
        <w:br w:type="page"/>
      </w:r>
    </w:p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5. Performance humaine (étape 4)</w:t>
      </w:r>
      <w:r>
        <w:rPr>
          <w:b/>
          <w:bCs/>
          <w:color w:val="888780"/>
          <w:sz w:val="24"/>
          <w:szCs w:val="24"/>
        </w:rPr>
        <w:t xml:space="preserve">  /  Human performance analysis (step 4)</w:t>
      </w:r>
    </w:p>
    <w:p>
      <w:pPr>
        <w:spacing w:after="120"/>
      </w:pPr>
      <w:r>
        <w:rPr>
          <w:sz w:val="22"/>
          <w:szCs w:val="22"/>
        </w:rPr>
        <w:t xml:space="preserve">Approche HOP : comprendre pourquoi les actions avaient du sens dans le contexte — pas juger. « L'erreur humaine » n'est jamais une cause fondamentale acceptable ; c'est le point de départ.</w:t>
      </w:r>
      <w:r>
        <w:rPr>
          <w:i/>
          <w:iCs/>
          <w:color w:val="5F5E5A"/>
          <w:sz w:val="22"/>
          <w:szCs w:val="22"/>
        </w:rPr>
        <w:t xml:space="preserve">  ·  HOP approach: understand why actions made sense in context — not to judge. 'Human error' is never an acceptable root cause; it is the starting point.</w:t>
      </w:r>
    </w:p>
    <w:p>
      <w:pPr>
        <w:pStyle w:val="Heading2"/>
        <w:spacing w:after="80" w:before="200"/>
      </w:pPr>
      <w:r>
        <w:rPr>
          <w:b/>
          <w:bCs/>
          <w:color w:val="1F3864"/>
          <w:sz w:val="24"/>
          <w:szCs w:val="24"/>
        </w:rPr>
        <w:t xml:space="preserve">5.1 Facteurs influençant la performance (PIF)</w:t>
      </w:r>
      <w:r>
        <w:rPr>
          <w:b/>
          <w:bCs/>
          <w:color w:val="888780"/>
          <w:sz w:val="22"/>
          <w:szCs w:val="22"/>
        </w:rPr>
        <w:t xml:space="preserve">  /  Performance-influencing factors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Conditions environnementales : éclairage, météo, congestion routière</w:t>
      </w:r>
      <w:r>
        <w:rPr>
          <w:i/>
          <w:iCs/>
          <w:color w:val="5F5E5A"/>
          <w:sz w:val="21"/>
          <w:szCs w:val="21"/>
        </w:rPr>
        <w:t xml:space="preserve">  /  Environmental: lighting, weather, road congestion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Complexité / familiarité de la tâche de conduite</w:t>
      </w:r>
      <w:r>
        <w:rPr>
          <w:i/>
          <w:iCs/>
          <w:color w:val="5F5E5A"/>
          <w:sz w:val="21"/>
          <w:szCs w:val="21"/>
        </w:rPr>
        <w:t xml:space="preserve">  /  Task complexity / familiarity of the driving task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Pression temporelle et exigences de production</w:t>
      </w:r>
      <w:r>
        <w:rPr>
          <w:i/>
          <w:iCs/>
          <w:color w:val="5F5E5A"/>
          <w:sz w:val="21"/>
          <w:szCs w:val="21"/>
        </w:rPr>
        <w:t xml:space="preserve">  /  Time pressure and production demands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Charge de travail et fatigue (rotations, trajets prolongés)</w:t>
      </w:r>
      <w:r>
        <w:rPr>
          <w:i/>
          <w:iCs/>
          <w:color w:val="5F5E5A"/>
          <w:sz w:val="21"/>
          <w:szCs w:val="21"/>
        </w:rPr>
        <w:t xml:space="preserve">  /  Workload and fatigue (rotations, extended travel)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Adéquation et récence de la formation pour l'unité conduite</w:t>
      </w:r>
      <w:r>
        <w:rPr>
          <w:i/>
          <w:iCs/>
          <w:color w:val="5F5E5A"/>
          <w:sz w:val="21"/>
          <w:szCs w:val="21"/>
        </w:rPr>
        <w:t xml:space="preserve">  /  Training adequacy and recency for the unit driven</w:t>
      </w:r>
    </w:p>
    <w:p>
      <w:pPr>
        <w:pStyle w:val="Heading2"/>
        <w:spacing w:after="80" w:before="200"/>
      </w:pPr>
      <w:r>
        <w:rPr>
          <w:b/>
          <w:bCs/>
          <w:color w:val="1F3864"/>
          <w:sz w:val="24"/>
          <w:szCs w:val="24"/>
        </w:rPr>
        <w:t xml:space="preserve">5.2 Cause immédiate rapportée</w:t>
      </w:r>
      <w:r>
        <w:rPr>
          <w:b/>
          <w:bCs/>
          <w:color w:val="888780"/>
          <w:sz w:val="22"/>
          <w:szCs w:val="22"/>
        </w:rPr>
        <w:t xml:space="preserve">  /  Reported immediate cause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Piste rapportée par le travailleur : inattention. À corroborer par la preuve (télématique, témoignage) avant d'être retenue. Explorer les conditions système qui auraient rendu la distraction probable, tolérée ou indétectable.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Cause reported by the worker: inattention. To be corroborated by evidence (telematics, testimony) before acceptance. Explore the system conditions that made distraction likely, tolerated, or undetectable.</w:t>
            </w:r>
          </w:p>
        </w:tc>
      </w:tr>
    </w:tbl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6. Contributeurs systémiques et organisationnels (étape 5)</w:t>
      </w:r>
      <w:r>
        <w:rPr>
          <w:b/>
          <w:bCs/>
          <w:color w:val="888780"/>
          <w:sz w:val="24"/>
          <w:szCs w:val="24"/>
        </w:rPr>
        <w:t xml:space="preserve">  /  Systemic &amp; organizational contributors (step 5)</w:t>
      </w:r>
    </w:p>
    <w:p>
      <w:pPr>
        <w:spacing w:after="120"/>
      </w:pPr>
      <w:r>
        <w:rPr>
          <w:sz w:val="22"/>
          <w:szCs w:val="22"/>
        </w:rPr>
        <w:t xml:space="preserve">Niveau de causation le plus important et le plus souvent négligé.</w:t>
      </w:r>
      <w:r>
        <w:rPr>
          <w:i/>
          <w:iCs/>
          <w:color w:val="5F5E5A"/>
          <w:sz w:val="22"/>
          <w:szCs w:val="22"/>
        </w:rPr>
        <w:t xml:space="preserve">  ·  The most important — and most often overlooked — level of causation.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Planification / horaire : temps alloué suffisant ?</w:t>
      </w:r>
      <w:r>
        <w:rPr>
          <w:i/>
          <w:iCs/>
          <w:color w:val="5F5E5A"/>
          <w:sz w:val="21"/>
          <w:szCs w:val="21"/>
        </w:rPr>
        <w:t xml:space="preserve">  /  Planning/scheduling: adequate time allocated?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Supervision : disponible, compétente, présente ?</w:t>
      </w:r>
      <w:r>
        <w:rPr>
          <w:i/>
          <w:iCs/>
          <w:color w:val="5F5E5A"/>
          <w:sz w:val="21"/>
          <w:szCs w:val="21"/>
        </w:rPr>
        <w:t xml:space="preserve">  /  Supervision: available, competent, present?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Formation / intégration : compétences requises acquises ?</w:t>
      </w:r>
      <w:r>
        <w:rPr>
          <w:i/>
          <w:iCs/>
          <w:color w:val="5F5E5A"/>
          <w:sz w:val="21"/>
          <w:szCs w:val="21"/>
        </w:rPr>
        <w:t xml:space="preserve">  /  Training/onboarding: required competencies in place?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Gestion des actifs : unité 110035 adaptée et entretenue ?</w:t>
      </w:r>
      <w:r>
        <w:rPr>
          <w:i/>
          <w:iCs/>
          <w:color w:val="5F5E5A"/>
          <w:sz w:val="21"/>
          <w:szCs w:val="21"/>
        </w:rPr>
        <w:t xml:space="preserve">  /  Asset management: unit 110035 fit-for-purpose and maintained?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Culture sécurité : les préoccupations et quasi-accidents sont-ils signalés ?</w:t>
      </w:r>
      <w:r>
        <w:rPr>
          <w:i/>
          <w:iCs/>
          <w:color w:val="5F5E5A"/>
          <w:sz w:val="21"/>
          <w:szCs w:val="21"/>
        </w:rPr>
        <w:t xml:space="preserve">  /  Safety culture: are concerns and near-hits being reported?</w:t>
      </w:r>
    </w:p>
    <w:p>
      <w:r>
        <w:br w:type="page"/>
      </w:r>
    </w:p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7. Éléments de preuve à valider</w:t>
      </w:r>
      <w:r>
        <w:rPr>
          <w:b/>
          <w:bCs/>
          <w:color w:val="888780"/>
          <w:sz w:val="24"/>
          <w:szCs w:val="24"/>
        </w:rPr>
        <w:t xml:space="preserve">  /  Evidence to validate</w:t>
      </w:r>
    </w:p>
    <w:p>
      <w:pPr>
        <w:spacing w:after="120"/>
      </w:pPr>
      <w:r>
        <w:rPr>
          <w:sz w:val="22"/>
          <w:szCs w:val="22"/>
        </w:rPr>
        <w:t xml:space="preserve">Points ouverts à fermer avant de conclure sur les causes fondamentales.</w:t>
      </w:r>
      <w:r>
        <w:rPr>
          <w:i/>
          <w:iCs/>
          <w:color w:val="5F5E5A"/>
          <w:sz w:val="22"/>
          <w:szCs w:val="22"/>
        </w:rPr>
        <w:t xml:space="preserve">  ·  Open items to close before concluding on root causes.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2600"/>
        <w:gridCol w:w="2600"/>
      </w:tblGrid>
      <w:tr>
        <w:tc>
          <w:tcPr>
            <w:tcW w:type="dxa" w:w="504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Élément à valider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Item to validate</w:t>
            </w:r>
          </w:p>
        </w:tc>
        <w:tc>
          <w:tcPr>
            <w:tcW w:type="dxa" w:w="26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Responsable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Owner</w:t>
            </w:r>
          </w:p>
        </w:tc>
        <w:tc>
          <w:tcPr>
            <w:tcW w:type="dxa" w:w="26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Statut / échéance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Status / due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Extraction FleetComplete : profil de vitesse, freinage brusque, horodatage (65→0)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FleetComplete export: speed profile, hard braking, timestamps (65→0)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Dossier de formation à jour — conduite camion nacelle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Up-to-date training file — aerial-truck operation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Rapports d'inspection des freins / entretien de l'unité 110035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Brake inspection / maintenance records for unit 110035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Inspection pré-départ (circle check) du jour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Day-of pre-trip (circle check) record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Témoignages — travailleur et témoins (individuellement)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Statements — worker and witnesses (individually)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Rapport de police / n° de dossier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Police report / file number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Conditions météo / route / éclairage à l'heure de l'événement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Weather / road / lighting conditions at time of event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  <w:tr>
        <w:tc>
          <w:tcPr>
            <w:tcW w:type="dxa" w:w="5040"/>
            <w:shd w:fill="FAEED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Photos horodatées et mesures de la scène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Time-stamped photos and scene measurements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Ouvert</w:t>
            </w:r>
            <w:r>
              <w:rPr>
                <w:i/>
                <w:iCs/>
                <w:color w:val="5F5E5A"/>
                <w:sz w:val="18"/>
                <w:szCs w:val="18"/>
              </w:rPr>
              <w:t xml:space="preserve">  ·  Open</w:t>
            </w:r>
          </w:p>
        </w:tc>
      </w:tr>
    </w:tbl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8. Détermination des causes fondamentales (étape 6)</w:t>
      </w:r>
      <w:r>
        <w:rPr>
          <w:b/>
          <w:bCs/>
          <w:color w:val="888780"/>
          <w:sz w:val="24"/>
          <w:szCs w:val="24"/>
        </w:rPr>
        <w:t xml:space="preserve">  /  Root cause determination (step 6)</w:t>
      </w:r>
    </w:p>
    <w:p>
      <w:pPr>
        <w:spacing w:after="120"/>
      </w:pPr>
      <w:r>
        <w:rPr>
          <w:sz w:val="22"/>
          <w:szCs w:val="22"/>
        </w:rPr>
        <w:t xml:space="preserve">Valider chaque cause proposée avec les 5 critères : appuyée par la preuve · sous contrôle organisationnel · élimine la récurrence si corrigée · n'est pas le symptôme d'une cause plus profonde (5 pourquoi) · spécifique et actionnable.</w:t>
      </w:r>
      <w:r>
        <w:rPr>
          <w:i/>
          <w:iCs/>
          <w:color w:val="5F5E5A"/>
          <w:sz w:val="22"/>
          <w:szCs w:val="22"/>
        </w:rPr>
        <w:t xml:space="preserve">  ·  Validate each proposed cause against the 5 criteria: evidence-supported · within organizational control · eliminates recurrence if corrected · not a symptom of a deeper cause (5 Whys) · specific and actionable.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Cause fondamentale 1 / Root cause 1 : </w:t>
            </w:r>
            <w:r>
              <w:rPr>
                <w:color w:val="000000"/>
                <w:sz w:val="20"/>
                <w:szCs w:val="20"/>
              </w:rPr>
              <w:t xml:space="preserve">________________________________________________</w:t>
            </w:r>
          </w:p>
        </w:tc>
      </w:tr>
      <w:tr>
        <w:tc>
          <w:tcPr>
            <w:tcW w:type="dxa" w:w="102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Cause fondamentale 2 / Root cause 2 : </w:t>
            </w:r>
            <w:r>
              <w:rPr>
                <w:color w:val="000000"/>
                <w:sz w:val="20"/>
                <w:szCs w:val="20"/>
              </w:rPr>
              <w:t xml:space="preserve">________________________________________________</w:t>
            </w:r>
          </w:p>
        </w:tc>
      </w:tr>
    </w:tbl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9. Mesures correctives</w:t>
      </w:r>
      <w:r>
        <w:rPr>
          <w:b/>
          <w:bCs/>
          <w:color w:val="888780"/>
          <w:sz w:val="24"/>
          <w:szCs w:val="24"/>
        </w:rPr>
        <w:t xml:space="preserve">  /  Corrective actions</w:t>
      </w:r>
    </w:p>
    <w:p>
      <w:pPr>
        <w:spacing w:after="120"/>
      </w:pPr>
      <w:r>
        <w:rPr>
          <w:sz w:val="22"/>
          <w:szCs w:val="22"/>
        </w:rPr>
        <w:t xml:space="preserve">Pour chaque cause fondamentale — actions SMART (spécifiques, mesurables, assignées, temporelles, vérifiées), suivies dans eCompliance.</w:t>
      </w:r>
      <w:r>
        <w:rPr>
          <w:i/>
          <w:iCs/>
          <w:color w:val="5F5E5A"/>
          <w:sz w:val="22"/>
          <w:szCs w:val="22"/>
        </w:rPr>
        <w:t xml:space="preserve">  ·  For each root cause — SMART actions (specific, measurable, assigned, time-bound, verified), tracked in eCompliance.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40"/>
        <w:gridCol w:w="3000"/>
        <w:gridCol w:w="1600"/>
        <w:gridCol w:w="1600"/>
      </w:tblGrid>
      <w:tr>
        <w:tc>
          <w:tcPr>
            <w:tcW w:type="dxa" w:w="404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Mesure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Action</w:t>
            </w:r>
          </w:p>
        </w:tc>
        <w:tc>
          <w:tcPr>
            <w:tcW w:type="dxa" w:w="30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Cause visée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Root cause</w:t>
            </w:r>
          </w:p>
        </w:tc>
        <w:tc>
          <w:tcPr>
            <w:tcW w:type="dxa" w:w="16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Resp.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Owner</w:t>
            </w:r>
          </w:p>
        </w:tc>
        <w:tc>
          <w:tcPr>
            <w:tcW w:type="dxa" w:w="160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Échéance</w:t>
            </w:r>
            <w:r>
              <w:rPr>
                <w:b/>
                <w:bCs/>
                <w:i/>
                <w:iCs/>
                <w:color w:val="D3D1C7"/>
                <w:sz w:val="18"/>
                <w:szCs w:val="18"/>
              </w:rPr>
              <w:t xml:space="preserve">  /  Due</w:t>
            </w:r>
          </w:p>
        </w:tc>
      </w:tr>
      <w:tr>
        <w:tc>
          <w:tcPr>
            <w:tcW w:type="dxa" w:w="40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0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0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10. Leçons apprises et diffusion</w:t>
      </w:r>
      <w:r>
        <w:rPr>
          <w:b/>
          <w:bCs/>
          <w:color w:val="888780"/>
          <w:sz w:val="24"/>
          <w:szCs w:val="24"/>
        </w:rPr>
        <w:t xml:space="preserve">  /  Lessons learned &amp; sharing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Bulletin de sécurité / alerte</w:t>
      </w:r>
      <w:r>
        <w:rPr>
          <w:i/>
          <w:iCs/>
          <w:color w:val="5F5E5A"/>
          <w:sz w:val="21"/>
          <w:szCs w:val="21"/>
        </w:rPr>
        <w:t xml:space="preserve">  /  Safety bulletin / alert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Breffage leadership + causerie sécurité (toolbox)</w:t>
      </w:r>
      <w:r>
        <w:rPr>
          <w:i/>
          <w:iCs/>
          <w:color w:val="5F5E5A"/>
          <w:sz w:val="21"/>
          <w:szCs w:val="21"/>
        </w:rPr>
        <w:t xml:space="preserve">  /  Leadership brief + toolbox talk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sz w:val="21"/>
          <w:szCs w:val="21"/>
        </w:rPr>
        <w:t xml:space="preserve">Mise à jour du registre des risques et du contenu de formation</w:t>
      </w:r>
      <w:r>
        <w:rPr>
          <w:i/>
          <w:iCs/>
          <w:color w:val="5F5E5A"/>
          <w:sz w:val="21"/>
          <w:szCs w:val="21"/>
        </w:rPr>
        <w:t xml:space="preserve">  /  Risk register and training content updates</w:t>
      </w:r>
    </w:p>
    <w:p>
      <w:pPr>
        <w:pStyle w:val="Heading1"/>
        <w:spacing w:after="120" w:before="260"/>
      </w:pPr>
      <w:r>
        <w:rPr>
          <w:b/>
          <w:bCs/>
          <w:color w:val="1F3864"/>
          <w:sz w:val="28"/>
          <w:szCs w:val="28"/>
        </w:rPr>
        <w:t xml:space="preserve">11. Signatures / gouvernance</w:t>
      </w:r>
      <w:r>
        <w:rPr>
          <w:b/>
          <w:bCs/>
          <w:color w:val="888780"/>
          <w:sz w:val="24"/>
          <w:szCs w:val="24"/>
        </w:rPr>
        <w:t xml:space="preserve">  /  Signatures / governance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840"/>
      </w:tblGrid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Rempli par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Completed by</w:t>
            </w:r>
          </w:p>
        </w:tc>
        <w:tc>
          <w:tcPr>
            <w:tcW w:type="dxa" w:w="6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Mario Deshaies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Enquête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Investigation</w:t>
            </w:r>
          </w:p>
        </w:tc>
        <w:tc>
          <w:tcPr>
            <w:tcW w:type="dxa" w:w="6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Steven Laprade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Superviseur / surintendant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Supervisor / superintendent</w:t>
            </w:r>
          </w:p>
        </w:tc>
        <w:tc>
          <w:tcPr>
            <w:tcW w:type="dxa" w:w="6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Steven Laprade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Revue qualité (HSBP)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Quality review (HSBP)</w:t>
            </w:r>
          </w:p>
        </w:tc>
        <w:tc>
          <w:tcPr>
            <w:tcW w:type="dxa" w:w="6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400"/>
            <w:shd w:fill="F1EFE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000000"/>
                <w:sz w:val="20"/>
                <w:szCs w:val="20"/>
              </w:rPr>
              <w:t xml:space="preserve">Approbation (Directeur, si HiPo)</w:t>
            </w:r>
            <w:r>
              <w:rPr>
                <w:b/>
                <w:bCs/>
                <w:i/>
                <w:iCs/>
                <w:color w:val="5F5E5A"/>
                <w:sz w:val="18"/>
                <w:szCs w:val="18"/>
              </w:rPr>
              <w:t xml:space="preserve">  /  Approval (Director, if HiPo)</w:t>
            </w:r>
          </w:p>
        </w:tc>
        <w:tc>
          <w:tcPr>
            <w:tcW w:type="dxa" w:w="68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________________________</w:t>
            </w:r>
          </w:p>
        </w:tc>
      </w:tr>
    </w:tbl>
    <w:sectPr>
      <w:pgSz w:w="12240" w:h="15840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2026-08-14T14:16:05.610Z</dcterms:created>
  <dcterms:modified xsi:type="dcterms:W3CDTF">2026-08-14T14:16:05.626Z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