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3A5C"/>
          <w:sz w:val="20"/>
          <w:szCs w:val="20"/>
        </w:rPr>
        <w:t xml:space="preserve">TELECON — Santé, sécurité et environnement</w:t>
      </w:r>
    </w:p>
    <w:p>
      <w:pPr>
        <w:spacing w:after="30"/>
        <w:jc w:val="center"/>
      </w:pPr>
      <w:r>
        <w:rPr>
          <w:b/>
          <w:bCs/>
          <w:color w:val="1B3A5C"/>
          <w:sz w:val="32"/>
          <w:szCs w:val="32"/>
        </w:rPr>
        <w:t xml:space="preserve">COMMUNICATIONS INTERNES SST</w:t>
      </w:r>
    </w:p>
    <w:p>
      <w:pPr>
        <w:spacing w:after="150"/>
        <w:jc w:val="center"/>
      </w:pPr>
      <w:r>
        <w:rPr>
          <w:i/>
          <w:iCs/>
          <w:color w:val="5A6B7A"/>
          <w:sz w:val="22"/>
          <w:szCs w:val="22"/>
        </w:rPr>
        <w:t xml:space="preserve">Processus de diffusion : gabarit de bulletin · matrice de diffusion · checklist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6E3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B3A5C"/>
                <w:sz w:val="19"/>
                <w:szCs w:val="19"/>
              </w:rPr>
              <w:t xml:space="preserve">À quoi sert ce document : </w:t>
            </w:r>
            <w:r>
              <w:rPr>
                <w:color w:val="1A2B3A"/>
                <w:sz w:val="19"/>
                <w:szCs w:val="19"/>
              </w:rPr>
              <w:t xml:space="preserve">une recette réutilisable pour diffuser un message SST (événement, alerte, campagne) de façon cohérente sur tous les canaux Telecon. Piloté à deux — un responsable de l'écrit, un responsable du visuel/affichage — avec une personne « responsable de version » qui tient le texte final.</w:t>
            </w:r>
          </w:p>
        </w:tc>
      </w:tr>
    </w:tbl>
    <w:p>
      <w:pPr>
        <w:pStyle w:val="Heading1"/>
        <w:spacing w:after="110" w:before="260"/>
      </w:pPr>
      <w:r>
        <w:rPr>
          <w:b/>
          <w:bCs/>
          <w:color w:val="1B3A5C"/>
          <w:sz w:val="28"/>
          <w:szCs w:val="28"/>
        </w:rPr>
        <w:t xml:space="preserve">Partie 1 — Gabarit de bulletin SST (à remplir)</w:t>
      </w:r>
    </w:p>
    <w:p>
      <w:pPr>
        <w:spacing w:after="90"/>
      </w:pPr>
      <w:r>
        <w:rPr>
          <w:i/>
          <w:iCs/>
          <w:color w:val="5A6B7A"/>
          <w:sz w:val="21"/>
          <w:szCs w:val="21"/>
        </w:rPr>
        <w:t xml:space="preserve">Structure fixe à remplir pour chaque diffusion. Rester factuel, sans blâme; si l'enquête est en cours, marquer les éléments non confirmés « à confirmer ».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Titre / sujet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____________________________________________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Date de diffusion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Émetteur(s)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____________________ (ex. : SSE — vous et Kim)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Type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☐ Événement  ☐ Alerte  ☐ Rappel  ☐ Campagne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1. Ce qui s'est produit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Faits neutres, sans nom, 2-4 lignes. « Mécanique à confirmer » si enquête en cours.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2. Pourquoi ça nous concerne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Lien avec le quotidien des équipes; risque du même type.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3. Ce qu'on retient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Réflexes / règles à appliquer (relier au standard : SSE-2000, 5 clés).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4. Ce qu'on demande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Actions par acteur : Travailleurs / Superviseurs / Gestionnaires.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5. Rappel clé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Autorité d'arrêt de travail; ton sans blâme.</w:t>
            </w:r>
          </w:p>
        </w:tc>
      </w:tr>
      <w:tr>
        <w:tc>
          <w:tcPr>
            <w:tcW w:type="dxa" w:w="26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8"/>
                <w:szCs w:val="18"/>
              </w:rPr>
              <w:t xml:space="preserve">6. Ressources</w:t>
            </w:r>
          </w:p>
        </w:tc>
        <w:tc>
          <w:tcPr>
            <w:tcW w:type="dxa" w:w="67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Affiche, fiche de stand-down, procédures, lien intranet.</w:t>
            </w:r>
          </w:p>
        </w:tc>
      </w:tr>
    </w:tbl>
    <w:p>
      <w:pPr>
        <w:pStyle w:val="Heading1"/>
        <w:spacing w:after="110" w:before="260"/>
      </w:pPr>
      <w:r>
        <w:rPr>
          <w:b/>
          <w:bCs/>
          <w:color w:val="1B3A5C"/>
          <w:sz w:val="28"/>
          <w:szCs w:val="28"/>
        </w:rPr>
        <w:t xml:space="preserve">Partie 2 — Matrice de diffusion multi-canal</w:t>
      </w:r>
    </w:p>
    <w:p>
      <w:pPr>
        <w:spacing w:after="90"/>
      </w:pPr>
      <w:r>
        <w:rPr>
          <w:i/>
          <w:iCs/>
          <w:color w:val="5A6B7A"/>
          <w:sz w:val="21"/>
          <w:szCs w:val="21"/>
        </w:rPr>
        <w:t xml:space="preserve">Qui diffuse quoi, dans quel format, sur quel canal, à quel moment. Colonne « Responsable » : V = vous, K = Kim (à ajuster selon le rôle de Kim).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400"/>
        <w:gridCol w:w="2160"/>
        <w:gridCol w:w="1400"/>
        <w:gridCol w:w="1500"/>
      </w:tblGrid>
      <w:tr>
        <w:tc>
          <w:tcPr>
            <w:tcW w:type="dxa" w:w="1900"/>
            <w:shd w:fill="1B3A5C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Canal</w:t>
            </w:r>
          </w:p>
        </w:tc>
        <w:tc>
          <w:tcPr>
            <w:tcW w:type="dxa" w:w="2400"/>
            <w:shd w:fill="1B3A5C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Format du message</w:t>
            </w:r>
          </w:p>
        </w:tc>
        <w:tc>
          <w:tcPr>
            <w:tcW w:type="dxa" w:w="2160"/>
            <w:shd w:fill="1B3A5C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Contenu source</w:t>
            </w:r>
          </w:p>
        </w:tc>
        <w:tc>
          <w:tcPr>
            <w:tcW w:type="dxa" w:w="1400"/>
            <w:shd w:fill="1B3A5C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Moment</w:t>
            </w:r>
          </w:p>
        </w:tc>
        <w:tc>
          <w:tcPr>
            <w:tcW w:type="dxa" w:w="1500"/>
            <w:shd w:fill="1B3A5C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Resp.</w:t>
            </w:r>
          </w:p>
        </w:tc>
      </w:tr>
      <w:tr>
        <w:tc>
          <w:tcPr>
            <w:tcW w:type="dxa" w:w="19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7"/>
                <w:szCs w:val="17"/>
              </w:rPr>
              <w:t xml:space="preserve">Stand-down (en personne)</w:t>
            </w:r>
          </w:p>
        </w:tc>
        <w:tc>
          <w:tcPr>
            <w:tcW w:type="dxa" w:w="2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Causerie animée</w:t>
            </w:r>
          </w:p>
        </w:tc>
        <w:tc>
          <w:tcPr>
            <w:tcW w:type="dxa" w:w="21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Guide d'animation + affiche</w:t>
            </w:r>
          </w:p>
        </w:tc>
        <w:tc>
          <w:tcPr>
            <w:tcW w:type="dxa" w:w="1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Lundi AM</w:t>
            </w:r>
          </w:p>
        </w:tc>
        <w:tc>
          <w:tcPr>
            <w:tcW w:type="dxa" w:w="15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0B7A6E"/>
                <w:sz w:val="17"/>
                <w:szCs w:val="17"/>
              </w:rPr>
              <w:t xml:space="preserve">V</w:t>
            </w:r>
          </w:p>
        </w:tc>
      </w:tr>
      <w:tr>
        <w:tc>
          <w:tcPr>
            <w:tcW w:type="dxa" w:w="19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7"/>
                <w:szCs w:val="17"/>
              </w:rPr>
              <w:t xml:space="preserve">Courriel</w:t>
            </w:r>
          </w:p>
        </w:tc>
        <w:tc>
          <w:tcPr>
            <w:tcW w:type="dxa" w:w="2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Message long + PJ</w:t>
            </w:r>
          </w:p>
        </w:tc>
        <w:tc>
          <w:tcPr>
            <w:tcW w:type="dxa" w:w="21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Bulletin complet + affiche + fiche</w:t>
            </w:r>
          </w:p>
        </w:tc>
        <w:tc>
          <w:tcPr>
            <w:tcW w:type="dxa" w:w="1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Lundi, après stand-down</w:t>
            </w:r>
          </w:p>
        </w:tc>
        <w:tc>
          <w:tcPr>
            <w:tcW w:type="dxa" w:w="15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0B7A6E"/>
                <w:sz w:val="17"/>
                <w:szCs w:val="17"/>
              </w:rPr>
              <w:t xml:space="preserve">V</w:t>
            </w:r>
          </w:p>
        </w:tc>
      </w:tr>
      <w:tr>
        <w:tc>
          <w:tcPr>
            <w:tcW w:type="dxa" w:w="19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7"/>
                <w:szCs w:val="17"/>
              </w:rPr>
              <w:t xml:space="preserve">Teams / Slack</w:t>
            </w:r>
          </w:p>
        </w:tc>
        <w:tc>
          <w:tcPr>
            <w:tcW w:type="dxa" w:w="2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Capsule courte + visuel</w:t>
            </w:r>
          </w:p>
        </w:tc>
        <w:tc>
          <w:tcPr>
            <w:tcW w:type="dxa" w:w="21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Capsule « annonce » + image</w:t>
            </w:r>
          </w:p>
        </w:tc>
        <w:tc>
          <w:tcPr>
            <w:tcW w:type="dxa" w:w="1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Lundi PM</w:t>
            </w:r>
          </w:p>
        </w:tc>
        <w:tc>
          <w:tcPr>
            <w:tcW w:type="dxa" w:w="15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0B7A6E"/>
                <w:sz w:val="17"/>
                <w:szCs w:val="17"/>
              </w:rPr>
              <w:t xml:space="preserve">K</w:t>
            </w:r>
          </w:p>
        </w:tc>
      </w:tr>
      <w:tr>
        <w:tc>
          <w:tcPr>
            <w:tcW w:type="dxa" w:w="19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7"/>
                <w:szCs w:val="17"/>
              </w:rPr>
              <w:t xml:space="preserve">Intranet SharePoint</w:t>
            </w:r>
          </w:p>
        </w:tc>
        <w:tc>
          <w:tcPr>
            <w:tcW w:type="dxa" w:w="2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Page / archive permanente</w:t>
            </w:r>
          </w:p>
        </w:tc>
        <w:tc>
          <w:tcPr>
            <w:tcW w:type="dxa" w:w="21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Tout : bulletin, affiche, fiche, procédures</w:t>
            </w:r>
          </w:p>
        </w:tc>
        <w:tc>
          <w:tcPr>
            <w:tcW w:type="dxa" w:w="1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Lundi PM</w:t>
            </w:r>
          </w:p>
        </w:tc>
        <w:tc>
          <w:tcPr>
            <w:tcW w:type="dxa" w:w="15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0B7A6E"/>
                <w:sz w:val="17"/>
                <w:szCs w:val="17"/>
              </w:rPr>
              <w:t xml:space="preserve">K</w:t>
            </w:r>
          </w:p>
        </w:tc>
      </w:tr>
      <w:tr>
        <w:tc>
          <w:tcPr>
            <w:tcW w:type="dxa" w:w="19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7"/>
                <w:szCs w:val="17"/>
              </w:rPr>
              <w:t xml:space="preserve">Babillard</w:t>
            </w:r>
          </w:p>
        </w:tc>
        <w:tc>
          <w:tcPr>
            <w:tcW w:type="dxa" w:w="2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Affiche imprimée</w:t>
            </w:r>
          </w:p>
        </w:tc>
        <w:tc>
          <w:tcPr>
            <w:tcW w:type="dxa" w:w="21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Safety aid (format tabloïd)</w:t>
            </w:r>
          </w:p>
        </w:tc>
        <w:tc>
          <w:tcPr>
            <w:tcW w:type="dxa" w:w="1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Lundi → toute la semaine</w:t>
            </w:r>
          </w:p>
        </w:tc>
        <w:tc>
          <w:tcPr>
            <w:tcW w:type="dxa" w:w="15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0B7A6E"/>
                <w:sz w:val="17"/>
                <w:szCs w:val="17"/>
              </w:rPr>
              <w:t xml:space="preserve">V</w:t>
            </w:r>
          </w:p>
        </w:tc>
      </w:tr>
      <w:tr>
        <w:tc>
          <w:tcPr>
            <w:tcW w:type="dxa" w:w="19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7"/>
                <w:szCs w:val="17"/>
              </w:rPr>
              <w:t xml:space="preserve">Écran / TV de salle</w:t>
            </w:r>
          </w:p>
        </w:tc>
        <w:tc>
          <w:tcPr>
            <w:tcW w:type="dxa" w:w="2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Visuel plein écran</w:t>
            </w:r>
          </w:p>
        </w:tc>
        <w:tc>
          <w:tcPr>
            <w:tcW w:type="dxa" w:w="21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Affiche (PNG paysage)</w:t>
            </w:r>
          </w:p>
        </w:tc>
        <w:tc>
          <w:tcPr>
            <w:tcW w:type="dxa" w:w="1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Toute la semaine</w:t>
            </w:r>
          </w:p>
        </w:tc>
        <w:tc>
          <w:tcPr>
            <w:tcW w:type="dxa" w:w="15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0B7A6E"/>
                <w:sz w:val="17"/>
                <w:szCs w:val="17"/>
              </w:rPr>
              <w:t xml:space="preserve">K</w:t>
            </w:r>
          </w:p>
        </w:tc>
      </w:tr>
      <w:tr>
        <w:tc>
          <w:tcPr>
            <w:tcW w:type="dxa" w:w="190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1A2B3A"/>
                <w:sz w:val="17"/>
                <w:szCs w:val="17"/>
              </w:rPr>
              <w:t xml:space="preserve">Teams / Slack (suivi)</w:t>
            </w:r>
          </w:p>
        </w:tc>
        <w:tc>
          <w:tcPr>
            <w:tcW w:type="dxa" w:w="2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Micro-rappels</w:t>
            </w:r>
          </w:p>
        </w:tc>
        <w:tc>
          <w:tcPr>
            <w:tcW w:type="dxa" w:w="216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Capsules « 5 clés » / « micro-rappel »</w:t>
            </w:r>
          </w:p>
        </w:tc>
        <w:tc>
          <w:tcPr>
            <w:tcW w:type="dxa" w:w="14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7"/>
                <w:szCs w:val="17"/>
              </w:rPr>
              <w:t xml:space="preserve">Jours 2-3-4</w:t>
            </w:r>
          </w:p>
        </w:tc>
        <w:tc>
          <w:tcPr>
            <w:tcW w:type="dxa" w:w="1500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0B7A6E"/>
                <w:sz w:val="17"/>
                <w:szCs w:val="17"/>
              </w:rPr>
              <w:t xml:space="preserve">K</w:t>
            </w:r>
          </w:p>
        </w:tc>
      </w:tr>
    </w:tbl>
    <w:p>
      <w:pPr>
        <w:spacing w:after="60"/>
      </w:pPr>
      <w:r>
        <w:rPr>
          <w:i/>
          <w:iCs/>
          <w:color w:val="1B3A5C"/>
          <w:sz w:val="21"/>
          <w:szCs w:val="21"/>
        </w:rPr>
        <w:t xml:space="preserve">Principe d'ordre : diffuser de l'intérieur vers l'extérieur. Les équipes touchées l'entendent d'une personne (stand-down) avant de le lire sur un écran. Chaque canal renvoie à l'intranet, qui est la source unique.</w:t>
      </w:r>
    </w:p>
    <w:p>
      <w:pPr>
        <w:pStyle w:val="Heading1"/>
        <w:spacing w:after="110" w:before="260"/>
      </w:pPr>
      <w:r>
        <w:rPr>
          <w:b/>
          <w:bCs/>
          <w:color w:val="1B3A5C"/>
          <w:sz w:val="28"/>
          <w:szCs w:val="28"/>
        </w:rPr>
        <w:t xml:space="preserve">Partie 3 — Checklist de diffusion</w:t>
      </w:r>
    </w:p>
    <w:p>
      <w:pPr>
        <w:spacing w:after="70" w:before="160"/>
      </w:pPr>
      <w:r>
        <w:rPr>
          <w:b/>
          <w:bCs/>
          <w:color w:val="0B7A6E"/>
          <w:sz w:val="23"/>
          <w:szCs w:val="23"/>
        </w:rPr>
        <w:t xml:space="preserve">Avant diffusion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Noyau de message validé ensemble (vous + Kim)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Éléments non confirmés marqués « à confirmer »; ton sans blâme vérifié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Aucun nom de personne; aucune image sensationnaliste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Responsable de version désigné (tient le texte final)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Ressources prêtes : affiche, fiche de stand-down, bulletin, liens</w:t>
      </w:r>
    </w:p>
    <w:p>
      <w:pPr>
        <w:spacing w:after="70" w:before="160"/>
      </w:pPr>
      <w:r>
        <w:rPr>
          <w:b/>
          <w:bCs/>
          <w:color w:val="0B7A6E"/>
          <w:sz w:val="23"/>
          <w:szCs w:val="23"/>
        </w:rPr>
        <w:t xml:space="preserve">Pendant la diffusion (dans l'ordre)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Stand-down en personne tenu (lundi AM)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Courriel envoyé avec pièces jointes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Capsule Teams/Slack publiée + visuel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Page intranet SharePoint mise à jour (source unique)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Affiche posée au babillard / diffusée à l'écran</w:t>
      </w:r>
    </w:p>
    <w:p>
      <w:pPr>
        <w:spacing w:after="70" w:before="160"/>
      </w:pPr>
      <w:r>
        <w:rPr>
          <w:b/>
          <w:bCs/>
          <w:color w:val="0B7A6E"/>
          <w:sz w:val="23"/>
          <w:szCs w:val="23"/>
        </w:rPr>
        <w:t xml:space="preserve">Après diffusion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Fiches de stand-down récupérées et archivées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Questions / préoccupations recueillies et acheminées au responsable SST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Micro-rappels planifiés (jours 2-3-4)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Tout archivé sur l'intranet pour référence future</w:t>
      </w:r>
    </w:p>
    <w:p>
      <w:pPr>
        <w:spacing w:after="55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Bref retour vous + Kim : qu'est-ce qui a bien marché, quoi améliorer</w:t>
      </w:r>
    </w:p>
    <w:p>
      <w:pPr>
        <w:pStyle w:val="Heading1"/>
        <w:spacing w:after="110" w:before="260"/>
      </w:pPr>
      <w:r>
        <w:rPr>
          <w:b/>
          <w:bCs/>
          <w:color w:val="1B3A5C"/>
          <w:sz w:val="28"/>
          <w:szCs w:val="28"/>
        </w:rPr>
        <w:t xml:space="preserve">Partie 4 — Répartition à deux (aide-mémoire)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shd w:fill="1B3A5C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Responsable de l'écrit</w:t>
            </w:r>
          </w:p>
        </w:tc>
        <w:tc>
          <w:tcPr>
            <w:tcW w:type="dxa" w:w="4680"/>
            <w:shd w:fill="1B3A5C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Responsable du visuel / affichage</w:t>
            </w:r>
          </w:p>
        </w:tc>
      </w:tr>
      <w:tr>
        <w:tc>
          <w:tcPr>
            <w:tcW w:type="dxa" w:w="468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Bulletin, courriel, page intranet, texte des capsules. Tient la version finale du texte.</w:t>
            </w:r>
          </w:p>
        </w:tc>
        <w:tc>
          <w:tcPr>
            <w:tcW w:type="dxa" w:w="4680"/>
            <w:shd w:fill="F1EFE8" w:color="auto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r>
              <w:rPr>
                <w:color w:val="1A2B3A"/>
                <w:sz w:val="18"/>
                <w:szCs w:val="18"/>
              </w:rPr>
              <w:t xml:space="preserve">Affiche, image Teams/Slack, babillard, écran. Adapte le visuel à chaque format.</w:t>
            </w:r>
          </w:p>
        </w:tc>
      </w:tr>
    </w:tbl>
    <w:p>
      <w:pPr>
        <w:spacing w:after="0"/>
      </w:pPr>
      <w:r>
        <w:rPr>
          <w:i/>
          <w:iCs/>
          <w:color w:val="5A6B7A"/>
          <w:sz w:val="21"/>
          <w:szCs w:val="21"/>
        </w:rPr>
        <w:t xml:space="preserve">Astuce : validez le noyau de message ensemble en 10 minutes, puis chacun décline sa moitié. Une seule personne modifie le texte final à la fois pour éviter deux versions en circulation.</w:t>
      </w:r>
    </w:p>
    <w:p>
      <w:pPr>
        <w:spacing w:before="200"/>
        <w:jc w:val="center"/>
      </w:pPr>
      <w:r>
        <w:rPr>
          <w:i/>
          <w:iCs/>
          <w:color w:val="8A97A3"/>
          <w:sz w:val="16"/>
          <w:szCs w:val="16"/>
        </w:rPr>
        <w:t xml:space="preserve">telecon · Processus de communications internes SST · v1 · à adapter selon vos canaux réels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2026-08-15T11:16:56.028Z</dcterms:created>
  <dcterms:modified xsi:type="dcterms:W3CDTF">2026-08-15T11:16:56.042Z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